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CE" w:rsidRDefault="00D5700C">
      <w:r>
        <w:rPr>
          <w:noProof/>
          <w:lang w:eastAsia="en-GB"/>
        </w:rPr>
        <w:drawing>
          <wp:inline distT="0" distB="0" distL="0" distR="0" wp14:anchorId="0B34287B" wp14:editId="373523C2">
            <wp:extent cx="5718175" cy="2074545"/>
            <wp:effectExtent l="0" t="0" r="0" b="1905"/>
            <wp:docPr id="1" name="Picture 1" descr="http://spserver/Resources/Logos/Isis%20Corporate%202013%20black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server/Resources/Logos/Isis%20Corporate%202013%20black%20sm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00C" w:rsidRDefault="00D5700C">
      <w:r>
        <w:t xml:space="preserve">Isis Innovation Limited </w:t>
      </w:r>
      <w:r w:rsidR="007E12E6">
        <w:t xml:space="preserve">  </w:t>
      </w:r>
      <w:r w:rsidR="002E0032">
        <w:t xml:space="preserve">(Isis) </w:t>
      </w:r>
      <w:r>
        <w:t xml:space="preserve">is a wholly owned subsidiary of the University of Oxford, </w:t>
      </w:r>
      <w:r w:rsidR="00C210AE">
        <w:t>m</w:t>
      </w:r>
      <w:r>
        <w:t xml:space="preserve">anaging technology transfer and academic consulting for </w:t>
      </w:r>
      <w:r w:rsidR="002E0032">
        <w:t>the University and the Oxford University Hospitals NHS Trust</w:t>
      </w:r>
      <w:r>
        <w:t>, and providing consulting advice for clients around the world.</w:t>
      </w:r>
    </w:p>
    <w:p w:rsidR="006E5DEC" w:rsidRDefault="006E5DEC">
      <w:r>
        <w:t>The University has the h</w:t>
      </w:r>
      <w:r w:rsidR="00A12AE1" w:rsidRPr="006E5DEC">
        <w:t xml:space="preserve">ighest </w:t>
      </w:r>
      <w:r>
        <w:t>r</w:t>
      </w:r>
      <w:r w:rsidR="00A12AE1" w:rsidRPr="006E5DEC">
        <w:t xml:space="preserve">esearch </w:t>
      </w:r>
      <w:r>
        <w:t>income of any UK university (</w:t>
      </w:r>
      <w:r w:rsidR="00A12AE1" w:rsidRPr="006E5DEC">
        <w:t xml:space="preserve">£568 million </w:t>
      </w:r>
      <w:r>
        <w:t xml:space="preserve">in </w:t>
      </w:r>
      <w:r w:rsidR="00A12AE1" w:rsidRPr="006E5DEC">
        <w:t>2013)</w:t>
      </w:r>
      <w:r>
        <w:t xml:space="preserve">. Isis is the </w:t>
      </w:r>
      <w:r w:rsidRPr="006E5DEC">
        <w:t>joint 3</w:t>
      </w:r>
      <w:r w:rsidRPr="006E5DEC">
        <w:rPr>
          <w:vertAlign w:val="superscript"/>
        </w:rPr>
        <w:t>rd</w:t>
      </w:r>
      <w:r w:rsidRPr="006E5DEC">
        <w:t xml:space="preserve"> highest British PCT patent applicant and </w:t>
      </w:r>
      <w:r>
        <w:t xml:space="preserve">the </w:t>
      </w:r>
      <w:r w:rsidRPr="006E5DEC">
        <w:t>16</w:t>
      </w:r>
      <w:r w:rsidRPr="006E5DEC">
        <w:rPr>
          <w:vertAlign w:val="superscript"/>
        </w:rPr>
        <w:t>th</w:t>
      </w:r>
      <w:r w:rsidRPr="006E5DEC">
        <w:t xml:space="preserve"> highest University PCT applicant worldwide</w:t>
      </w:r>
      <w:r>
        <w:t>.</w:t>
      </w:r>
    </w:p>
    <w:p w:rsidR="00D5700C" w:rsidRDefault="00D5700C">
      <w:r>
        <w:t xml:space="preserve">Isis </w:t>
      </w:r>
      <w:r w:rsidR="002E0032">
        <w:t>now</w:t>
      </w:r>
      <w:r>
        <w:t xml:space="preserve"> seek</w:t>
      </w:r>
      <w:r w:rsidR="002E0032">
        <w:t xml:space="preserve">s </w:t>
      </w:r>
      <w:r>
        <w:t>expressions of interest to tender for new patent drafting and prosecution work</w:t>
      </w:r>
      <w:r w:rsidR="00B22EAE">
        <w:t>.</w:t>
      </w:r>
    </w:p>
    <w:p w:rsidR="00D5700C" w:rsidRDefault="00A12AE1">
      <w:pPr>
        <w:rPr>
          <w:i/>
          <w:color w:val="548DD4" w:themeColor="text2" w:themeTint="99"/>
        </w:rPr>
      </w:pPr>
      <w:r>
        <w:t xml:space="preserve">Through the tender, </w:t>
      </w:r>
      <w:r w:rsidR="00D5700C">
        <w:t xml:space="preserve">Isis intends to appoint a panel of </w:t>
      </w:r>
      <w:r w:rsidR="002E0032">
        <w:t xml:space="preserve">experienced and capable </w:t>
      </w:r>
      <w:proofErr w:type="spellStart"/>
      <w:r w:rsidR="002870B2">
        <w:t>IPReg</w:t>
      </w:r>
      <w:proofErr w:type="spellEnd"/>
      <w:r w:rsidR="002870B2">
        <w:t>-</w:t>
      </w:r>
      <w:r w:rsidR="000B000A">
        <w:t>regulated p</w:t>
      </w:r>
      <w:r w:rsidR="00D5700C">
        <w:t xml:space="preserve">atent </w:t>
      </w:r>
      <w:r w:rsidR="000B000A">
        <w:t>a</w:t>
      </w:r>
      <w:r w:rsidR="00D5700C">
        <w:t>ttorney</w:t>
      </w:r>
      <w:r w:rsidR="008B2025">
        <w:t xml:space="preserve"> entities to provide services</w:t>
      </w:r>
      <w:r w:rsidR="0080311C">
        <w:t xml:space="preserve"> and support in relation to the following</w:t>
      </w:r>
      <w:r w:rsidR="00A928EA">
        <w:t xml:space="preserve"> activities</w:t>
      </w:r>
      <w:r w:rsidR="002870B2">
        <w:t>:</w:t>
      </w:r>
    </w:p>
    <w:p w:rsidR="0079208F" w:rsidRDefault="008578CD" w:rsidP="0079208F">
      <w:pPr>
        <w:pStyle w:val="ListParagraph"/>
        <w:numPr>
          <w:ilvl w:val="0"/>
          <w:numId w:val="1"/>
        </w:numPr>
      </w:pPr>
      <w:r>
        <w:t>d</w:t>
      </w:r>
      <w:r w:rsidR="0079208F">
        <w:t>raft an</w:t>
      </w:r>
      <w:r w:rsidR="000B000A">
        <w:t>d file new priority applications:</w:t>
      </w:r>
      <w:r w:rsidR="002870B2">
        <w:t xml:space="preserve"> </w:t>
      </w:r>
      <w:r w:rsidR="008B2025">
        <w:t>approximately 100 per year</w:t>
      </w:r>
      <w:r w:rsidR="004110E6">
        <w:t xml:space="preserve"> </w:t>
      </w:r>
      <w:r w:rsidR="002870B2">
        <w:t xml:space="preserve">are </w:t>
      </w:r>
      <w:r w:rsidR="004110E6">
        <w:t>anticipated</w:t>
      </w:r>
      <w:r w:rsidR="003C652C">
        <w:t xml:space="preserve"> in total</w:t>
      </w:r>
      <w:r>
        <w:t>;</w:t>
      </w:r>
      <w:r w:rsidR="002870B2">
        <w:t xml:space="preserve"> </w:t>
      </w:r>
    </w:p>
    <w:p w:rsidR="0079208F" w:rsidRDefault="008578CD" w:rsidP="0079208F">
      <w:pPr>
        <w:pStyle w:val="ListParagraph"/>
        <w:numPr>
          <w:ilvl w:val="0"/>
          <w:numId w:val="1"/>
        </w:numPr>
      </w:pPr>
      <w:r>
        <w:t>d</w:t>
      </w:r>
      <w:r w:rsidR="008B2025">
        <w:t>raft and file</w:t>
      </w:r>
      <w:r w:rsidR="0079208F">
        <w:t xml:space="preserve"> PCT applications</w:t>
      </w:r>
      <w:r w:rsidR="002E0032">
        <w:t xml:space="preserve"> arising from those priority applications</w:t>
      </w:r>
      <w:r w:rsidR="0080311C">
        <w:t xml:space="preserve"> </w:t>
      </w:r>
      <w:r w:rsidR="002870B2">
        <w:t xml:space="preserve">(historically </w:t>
      </w:r>
      <w:r w:rsidR="008B2025">
        <w:t xml:space="preserve">78% of </w:t>
      </w:r>
      <w:r w:rsidR="002E0032">
        <w:t xml:space="preserve">Isis </w:t>
      </w:r>
      <w:r w:rsidR="008B2025">
        <w:t>priority applications result in a corresponding PCT application</w:t>
      </w:r>
      <w:r w:rsidR="002870B2">
        <w:t>)</w:t>
      </w:r>
      <w:r>
        <w:t>;</w:t>
      </w:r>
    </w:p>
    <w:p w:rsidR="0080311C" w:rsidRDefault="008578CD" w:rsidP="0079208F">
      <w:pPr>
        <w:pStyle w:val="ListParagraph"/>
        <w:numPr>
          <w:ilvl w:val="0"/>
          <w:numId w:val="1"/>
        </w:numPr>
      </w:pPr>
      <w:r>
        <w:t>a</w:t>
      </w:r>
      <w:r w:rsidR="0080311C">
        <w:t>dvice and support in relation to Search Report</w:t>
      </w:r>
      <w:r w:rsidR="003C652C">
        <w:t xml:space="preserve">s and </w:t>
      </w:r>
      <w:r>
        <w:t>IPER as requested;</w:t>
      </w:r>
    </w:p>
    <w:p w:rsidR="0079208F" w:rsidRDefault="008578CD" w:rsidP="0079208F">
      <w:pPr>
        <w:pStyle w:val="ListParagraph"/>
        <w:numPr>
          <w:ilvl w:val="0"/>
          <w:numId w:val="1"/>
        </w:numPr>
      </w:pPr>
      <w:proofErr w:type="gramStart"/>
      <w:r>
        <w:t>i</w:t>
      </w:r>
      <w:r w:rsidR="0080311C">
        <w:t>nstruct</w:t>
      </w:r>
      <w:proofErr w:type="gramEnd"/>
      <w:r w:rsidR="0080311C">
        <w:t xml:space="preserve"> PCT national phase applications</w:t>
      </w:r>
      <w:r w:rsidR="002E0032">
        <w:t xml:space="preserve"> arising from those priority applications</w:t>
      </w:r>
      <w:r w:rsidR="0080311C">
        <w:t xml:space="preserve"> </w:t>
      </w:r>
      <w:r w:rsidR="002870B2">
        <w:t>(h</w:t>
      </w:r>
      <w:r w:rsidR="0080311C">
        <w:t>istorically</w:t>
      </w:r>
      <w:r w:rsidR="0079208F">
        <w:t xml:space="preserve"> </w:t>
      </w:r>
      <w:r w:rsidR="0080311C">
        <w:t>81%</w:t>
      </w:r>
      <w:r w:rsidR="0079208F">
        <w:t xml:space="preserve"> </w:t>
      </w:r>
      <w:r w:rsidR="002E0032">
        <w:t xml:space="preserve">of Isis </w:t>
      </w:r>
      <w:r w:rsidR="0079208F">
        <w:t>PCT applications</w:t>
      </w:r>
      <w:r w:rsidR="0080311C">
        <w:t xml:space="preserve"> </w:t>
      </w:r>
      <w:r w:rsidR="0079208F">
        <w:t>result in at least one national phase application</w:t>
      </w:r>
      <w:r w:rsidR="002870B2">
        <w:t>)</w:t>
      </w:r>
      <w:r w:rsidR="0079208F">
        <w:t>.</w:t>
      </w:r>
      <w:r w:rsidR="0080311C">
        <w:t xml:space="preserve">  </w:t>
      </w:r>
      <w:r w:rsidR="002870B2">
        <w:t>Note that national p</w:t>
      </w:r>
      <w:r w:rsidR="0080311C">
        <w:t xml:space="preserve">hase applications </w:t>
      </w:r>
      <w:r w:rsidR="00A928EA">
        <w:t>will</w:t>
      </w:r>
      <w:r w:rsidR="0080311C">
        <w:t xml:space="preserve"> be managed by </w:t>
      </w:r>
      <w:r w:rsidR="002870B2">
        <w:t xml:space="preserve">the </w:t>
      </w:r>
      <w:r w:rsidR="0080311C">
        <w:t xml:space="preserve">appointed panel member, but Isis will define </w:t>
      </w:r>
      <w:r w:rsidR="003C652C">
        <w:t xml:space="preserve">the </w:t>
      </w:r>
      <w:r w:rsidR="0080311C">
        <w:t>foreign agent and be di</w:t>
      </w:r>
      <w:r>
        <w:t>rectly responsible for invoices;</w:t>
      </w:r>
    </w:p>
    <w:p w:rsidR="008B2025" w:rsidRDefault="008578CD" w:rsidP="0079208F">
      <w:pPr>
        <w:pStyle w:val="ListParagraph"/>
        <w:numPr>
          <w:ilvl w:val="0"/>
          <w:numId w:val="1"/>
        </w:numPr>
      </w:pPr>
      <w:r>
        <w:t>p</w:t>
      </w:r>
      <w:r w:rsidR="008B2025">
        <w:t xml:space="preserve">rofessional advice and support in relation to worldwide </w:t>
      </w:r>
      <w:r w:rsidR="0080311C">
        <w:t xml:space="preserve">patent </w:t>
      </w:r>
      <w:r w:rsidR="008B2025">
        <w:t>prosecution</w:t>
      </w:r>
      <w:r w:rsidR="001F43E1">
        <w:t xml:space="preserve"> and post-grant actions</w:t>
      </w:r>
      <w:r>
        <w:t>;</w:t>
      </w:r>
    </w:p>
    <w:p w:rsidR="0080311C" w:rsidRDefault="008578CD" w:rsidP="008B2025">
      <w:pPr>
        <w:pStyle w:val="ListParagraph"/>
        <w:numPr>
          <w:ilvl w:val="0"/>
          <w:numId w:val="1"/>
        </w:numPr>
      </w:pPr>
      <w:r>
        <w:t>a</w:t>
      </w:r>
      <w:r w:rsidR="00A928EA">
        <w:t xml:space="preserve">ny other IP advice </w:t>
      </w:r>
      <w:r w:rsidR="00C11F2C">
        <w:t xml:space="preserve">and services </w:t>
      </w:r>
      <w:r w:rsidR="00A928EA">
        <w:t xml:space="preserve">in </w:t>
      </w:r>
      <w:r w:rsidR="00C11F2C">
        <w:t>support of I</w:t>
      </w:r>
      <w:r w:rsidR="00A928EA">
        <w:t>sis activities</w:t>
      </w:r>
      <w:r w:rsidR="000B000A">
        <w:t>,</w:t>
      </w:r>
      <w:r w:rsidR="00A928EA">
        <w:t xml:space="preserve"> including p</w:t>
      </w:r>
      <w:r w:rsidR="0080311C">
        <w:t xml:space="preserve">rovision of </w:t>
      </w:r>
      <w:r w:rsidR="00A928EA">
        <w:t xml:space="preserve">relevant IP law updates, </w:t>
      </w:r>
      <w:r w:rsidR="0080311C" w:rsidRPr="00A928EA">
        <w:t>seminars and training events</w:t>
      </w:r>
      <w:r w:rsidR="00A928EA">
        <w:t>.</w:t>
      </w:r>
    </w:p>
    <w:p w:rsidR="003C652C" w:rsidRPr="002870B2" w:rsidRDefault="003C652C" w:rsidP="003C652C">
      <w:pPr>
        <w:autoSpaceDE w:val="0"/>
        <w:autoSpaceDN w:val="0"/>
        <w:adjustRightInd w:val="0"/>
        <w:rPr>
          <w:rFonts w:ascii="Calibri" w:hAnsi="Calibri" w:cs="Calibri"/>
        </w:rPr>
      </w:pPr>
      <w:r w:rsidRPr="002870B2">
        <w:rPr>
          <w:rFonts w:ascii="Calibri" w:hAnsi="Calibri" w:cs="Calibri"/>
        </w:rPr>
        <w:t>The successful panel will be appointed for a 3 year period, extensible by agreement, with effect from 1 April 2015.</w:t>
      </w:r>
    </w:p>
    <w:p w:rsidR="008578CD" w:rsidRDefault="003C652C" w:rsidP="003C652C">
      <w:pPr>
        <w:rPr>
          <w:rFonts w:ascii="Calibri" w:hAnsi="Calibri" w:cs="Calibri"/>
        </w:rPr>
      </w:pPr>
      <w:r w:rsidRPr="002870B2">
        <w:rPr>
          <w:rFonts w:ascii="Calibri" w:hAnsi="Calibri" w:cs="Calibri"/>
        </w:rPr>
        <w:t xml:space="preserve">Successful panel appointees will have: </w:t>
      </w:r>
    </w:p>
    <w:p w:rsidR="008578CD" w:rsidRPr="008578CD" w:rsidRDefault="008578CD" w:rsidP="008578C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3C652C" w:rsidRPr="008578CD">
        <w:rPr>
          <w:rFonts w:ascii="Calibri" w:hAnsi="Calibri" w:cs="Calibri"/>
        </w:rPr>
        <w:t xml:space="preserve">ubstantial experience working with world class university academics </w:t>
      </w:r>
      <w:r w:rsidR="00B22EAE" w:rsidRPr="008578CD">
        <w:rPr>
          <w:rFonts w:ascii="Calibri" w:hAnsi="Calibri" w:cs="Calibri"/>
        </w:rPr>
        <w:t xml:space="preserve">and early stage technologies </w:t>
      </w:r>
      <w:r w:rsidR="003C652C" w:rsidRPr="008578CD">
        <w:rPr>
          <w:rFonts w:ascii="Calibri" w:hAnsi="Calibri" w:cs="Calibri"/>
        </w:rPr>
        <w:t xml:space="preserve">within a technology transfer environment; </w:t>
      </w:r>
    </w:p>
    <w:p w:rsidR="008578CD" w:rsidRPr="008578CD" w:rsidRDefault="003C652C" w:rsidP="008578C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8578CD">
        <w:rPr>
          <w:rFonts w:ascii="Calibri" w:hAnsi="Calibri" w:cs="Calibri"/>
        </w:rPr>
        <w:t xml:space="preserve">technical capability and experience across a very wide range of technologies; </w:t>
      </w:r>
    </w:p>
    <w:p w:rsidR="008578CD" w:rsidRPr="008578CD" w:rsidRDefault="003C652C" w:rsidP="008578CD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8578CD">
        <w:rPr>
          <w:rFonts w:ascii="Calibri" w:hAnsi="Calibri" w:cs="Calibri"/>
        </w:rPr>
        <w:t>location which facilitates</w:t>
      </w:r>
      <w:r w:rsidR="00172F4E" w:rsidRPr="008578CD">
        <w:rPr>
          <w:rFonts w:ascii="Calibri" w:hAnsi="Calibri" w:cs="Calibri"/>
        </w:rPr>
        <w:t xml:space="preserve"> attendance at</w:t>
      </w:r>
      <w:r w:rsidRPr="008578CD">
        <w:rPr>
          <w:rFonts w:ascii="Calibri" w:hAnsi="Calibri" w:cs="Calibri"/>
        </w:rPr>
        <w:t xml:space="preserve"> meetin</w:t>
      </w:r>
      <w:r w:rsidR="00172F4E" w:rsidRPr="008578CD">
        <w:rPr>
          <w:rFonts w:ascii="Calibri" w:hAnsi="Calibri" w:cs="Calibri"/>
        </w:rPr>
        <w:t>gs</w:t>
      </w:r>
      <w:r w:rsidRPr="008578CD">
        <w:rPr>
          <w:rFonts w:ascii="Calibri" w:hAnsi="Calibri" w:cs="Calibri"/>
        </w:rPr>
        <w:t xml:space="preserve"> in Oxford;</w:t>
      </w:r>
      <w:r w:rsidR="00172F4E" w:rsidRPr="008578CD">
        <w:rPr>
          <w:rFonts w:ascii="Calibri" w:hAnsi="Calibri" w:cs="Calibri"/>
        </w:rPr>
        <w:t xml:space="preserve"> </w:t>
      </w:r>
    </w:p>
    <w:p w:rsidR="003C652C" w:rsidRPr="00226C06" w:rsidRDefault="00172F4E" w:rsidP="008578CD">
      <w:pPr>
        <w:pStyle w:val="ListParagraph"/>
        <w:numPr>
          <w:ilvl w:val="0"/>
          <w:numId w:val="5"/>
        </w:numPr>
      </w:pPr>
      <w:proofErr w:type="gramStart"/>
      <w:r w:rsidRPr="008578CD">
        <w:rPr>
          <w:rFonts w:ascii="Calibri" w:hAnsi="Calibri" w:cs="Calibri"/>
        </w:rPr>
        <w:t>a</w:t>
      </w:r>
      <w:proofErr w:type="gramEnd"/>
      <w:r w:rsidR="003C652C" w:rsidRPr="008578CD">
        <w:rPr>
          <w:rFonts w:ascii="Calibri" w:hAnsi="Calibri" w:cs="Calibri"/>
        </w:rPr>
        <w:t xml:space="preserve"> </w:t>
      </w:r>
      <w:r w:rsidR="00226C06" w:rsidRPr="008578CD">
        <w:rPr>
          <w:rFonts w:ascii="Calibri" w:hAnsi="Calibri" w:cs="Calibri"/>
        </w:rPr>
        <w:t xml:space="preserve">flexible </w:t>
      </w:r>
      <w:r w:rsidRPr="008578CD">
        <w:rPr>
          <w:rFonts w:ascii="Calibri" w:hAnsi="Calibri" w:cs="Calibri"/>
        </w:rPr>
        <w:t xml:space="preserve">and transparent </w:t>
      </w:r>
      <w:r w:rsidR="003C652C" w:rsidRPr="008578CD">
        <w:rPr>
          <w:rFonts w:ascii="Calibri" w:hAnsi="Calibri" w:cs="Calibri"/>
        </w:rPr>
        <w:t>approach to cost and pricing to enable Isis to achieve optimum use of patent budget.</w:t>
      </w:r>
    </w:p>
    <w:p w:rsidR="00A928EA" w:rsidRDefault="002E0032" w:rsidP="00A928EA">
      <w:r>
        <w:lastRenderedPageBreak/>
        <w:t>Isis will continue to use current providers for m</w:t>
      </w:r>
      <w:r w:rsidR="003C652C">
        <w:t xml:space="preserve">anagement of patent renewals and the </w:t>
      </w:r>
      <w:r>
        <w:t>prosecution of</w:t>
      </w:r>
      <w:r w:rsidR="003C652C">
        <w:t xml:space="preserve"> Isis</w:t>
      </w:r>
      <w:r>
        <w:t>’ existing</w:t>
      </w:r>
      <w:r w:rsidR="003C652C">
        <w:t xml:space="preserve"> patent estate</w:t>
      </w:r>
      <w:r>
        <w:t>, so these activities</w:t>
      </w:r>
      <w:r w:rsidR="00172F4E">
        <w:t xml:space="preserve"> do not form part of this tender</w:t>
      </w:r>
      <w:r w:rsidR="003C652C">
        <w:t>.</w:t>
      </w:r>
      <w:r w:rsidR="00B22EAE">
        <w:t xml:space="preserve"> Isis </w:t>
      </w:r>
      <w:r>
        <w:t xml:space="preserve">anticipates that the panel will be used for the substantial majority of new filings and subsequent prosecution, but </w:t>
      </w:r>
      <w:r w:rsidR="00B22EAE">
        <w:t>retains the right to a</w:t>
      </w:r>
      <w:r w:rsidR="00250DB0">
        <w:t>ppoint counsel outside the panel</w:t>
      </w:r>
      <w:r>
        <w:t xml:space="preserve"> if the need arises</w:t>
      </w:r>
      <w:r w:rsidR="00B22EAE">
        <w:t>.</w:t>
      </w:r>
    </w:p>
    <w:p w:rsidR="00B22EAE" w:rsidRPr="001F43E1" w:rsidRDefault="00B22EAE" w:rsidP="00A928EA">
      <w:pPr>
        <w:rPr>
          <w:b/>
        </w:rPr>
      </w:pPr>
      <w:r w:rsidRPr="001F43E1">
        <w:rPr>
          <w:b/>
        </w:rPr>
        <w:t>Key information</w:t>
      </w:r>
    </w:p>
    <w:p w:rsidR="00172F4E" w:rsidRDefault="008B2025" w:rsidP="008B2025">
      <w:r>
        <w:t xml:space="preserve">Please submit any questions in relation to expressions </w:t>
      </w:r>
      <w:r w:rsidR="003C652C">
        <w:t>o</w:t>
      </w:r>
      <w:r>
        <w:t xml:space="preserve">f interest by </w:t>
      </w:r>
      <w:r w:rsidRPr="001F43E1">
        <w:rPr>
          <w:b/>
        </w:rPr>
        <w:t>08</w:t>
      </w:r>
      <w:r w:rsidR="002E0032" w:rsidRPr="001F43E1">
        <w:rPr>
          <w:b/>
        </w:rPr>
        <w:t xml:space="preserve"> </w:t>
      </w:r>
      <w:r w:rsidRPr="001F43E1">
        <w:rPr>
          <w:b/>
        </w:rPr>
        <w:t>October</w:t>
      </w:r>
      <w:r w:rsidR="002E0032" w:rsidRPr="001F43E1">
        <w:rPr>
          <w:b/>
        </w:rPr>
        <w:t xml:space="preserve"> </w:t>
      </w:r>
      <w:r w:rsidRPr="001F43E1">
        <w:rPr>
          <w:b/>
        </w:rPr>
        <w:t>2014</w:t>
      </w:r>
      <w:r>
        <w:t xml:space="preserve">.  </w:t>
      </w:r>
      <w:r w:rsidR="00DC423A">
        <w:t>Questions will be collated and the answers provided to all</w:t>
      </w:r>
      <w:r w:rsidR="002E0032">
        <w:t xml:space="preserve"> those who asked questions</w:t>
      </w:r>
      <w:r w:rsidR="00DC423A">
        <w:t>.</w:t>
      </w:r>
      <w:r w:rsidR="003C652C">
        <w:t xml:space="preserve">  </w:t>
      </w:r>
    </w:p>
    <w:p w:rsidR="00172F4E" w:rsidRDefault="002E0032" w:rsidP="008B2025">
      <w:r>
        <w:t>Please submit e</w:t>
      </w:r>
      <w:r w:rsidR="00172F4E">
        <w:t xml:space="preserve">xpressions of interest </w:t>
      </w:r>
      <w:r>
        <w:t xml:space="preserve">by </w:t>
      </w:r>
      <w:r w:rsidR="00B22EAE" w:rsidRPr="001F43E1">
        <w:rPr>
          <w:b/>
        </w:rPr>
        <w:t>22 October 2014</w:t>
      </w:r>
      <w:r w:rsidR="00B22EAE">
        <w:t xml:space="preserve"> </w:t>
      </w:r>
      <w:r w:rsidR="00172F4E">
        <w:t>using the questionnaire</w:t>
      </w:r>
      <w:r>
        <w:t xml:space="preserve"> below.</w:t>
      </w:r>
      <w:r w:rsidR="00B22EAE">
        <w:t xml:space="preserve"> </w:t>
      </w:r>
    </w:p>
    <w:p w:rsidR="002E0032" w:rsidRDefault="00B81555" w:rsidP="00F25052">
      <w:r>
        <w:t xml:space="preserve">Shortlisted </w:t>
      </w:r>
      <w:r w:rsidR="008B2025">
        <w:t xml:space="preserve">expressions of interest will </w:t>
      </w:r>
      <w:r w:rsidR="006F41F0">
        <w:t xml:space="preserve">be </w:t>
      </w:r>
      <w:r>
        <w:t>notified in mid</w:t>
      </w:r>
      <w:r w:rsidR="002870B2">
        <w:rPr>
          <w:b/>
        </w:rPr>
        <w:t>-</w:t>
      </w:r>
      <w:r w:rsidR="008B2025" w:rsidRPr="002870B2">
        <w:t>November</w:t>
      </w:r>
      <w:r w:rsidR="002E0032" w:rsidRPr="002870B2">
        <w:t xml:space="preserve"> </w:t>
      </w:r>
      <w:r w:rsidR="008B2025" w:rsidRPr="002870B2">
        <w:t>2014</w:t>
      </w:r>
      <w:r w:rsidR="002870B2">
        <w:t>,</w:t>
      </w:r>
      <w:r>
        <w:t xml:space="preserve"> with full tender documents due for submission one month later. Panel interviews for all shortlisted candidates will take place in Oxford on 21 or 23 January</w:t>
      </w:r>
      <w:r w:rsidR="002870B2">
        <w:t xml:space="preserve"> 2015</w:t>
      </w:r>
      <w:r>
        <w:t xml:space="preserve"> (subject to </w:t>
      </w:r>
      <w:r w:rsidR="00F7381C">
        <w:t xml:space="preserve">final </w:t>
      </w:r>
      <w:r>
        <w:t>confirmation).</w:t>
      </w:r>
    </w:p>
    <w:p w:rsidR="00F25052" w:rsidRDefault="006E5DEC" w:rsidP="00F25052">
      <w:r>
        <w:t xml:space="preserve">Isis will then make arrangements with successful panel members in time to start work from </w:t>
      </w:r>
      <w:r w:rsidRPr="001F43E1">
        <w:rPr>
          <w:b/>
        </w:rPr>
        <w:t>1 April 2015</w:t>
      </w:r>
      <w:r>
        <w:t>.</w:t>
      </w:r>
    </w:p>
    <w:p w:rsidR="003C652C" w:rsidRPr="001F43E1" w:rsidRDefault="00B22EAE" w:rsidP="008B2025">
      <w:pPr>
        <w:rPr>
          <w:b/>
        </w:rPr>
      </w:pPr>
      <w:r w:rsidRPr="001F43E1">
        <w:rPr>
          <w:b/>
        </w:rPr>
        <w:t>Contact</w:t>
      </w:r>
      <w:r w:rsidR="00A12AE1">
        <w:rPr>
          <w:b/>
        </w:rPr>
        <w:t xml:space="preserve"> details</w:t>
      </w:r>
    </w:p>
    <w:p w:rsidR="00B22EAE" w:rsidRDefault="00B22EAE" w:rsidP="008B2025">
      <w:r>
        <w:t xml:space="preserve">E: </w:t>
      </w:r>
      <w:hyperlink r:id="rId8" w:history="1">
        <w:r w:rsidRPr="00102619">
          <w:rPr>
            <w:rStyle w:val="Hyperlink"/>
          </w:rPr>
          <w:t>Steven.bayliss@isis.ox.ac.uk</w:t>
        </w:r>
      </w:hyperlink>
      <w:r w:rsidR="00DC423A">
        <w:tab/>
      </w:r>
      <w:r>
        <w:t>T: +44 (0)1865 280841</w:t>
      </w:r>
    </w:p>
    <w:p w:rsidR="00B22EAE" w:rsidRDefault="00B22EAE" w:rsidP="008B2025">
      <w:r>
        <w:t>F: +44 (0)1865 2</w:t>
      </w:r>
      <w:bookmarkStart w:id="0" w:name="_GoBack"/>
      <w:bookmarkEnd w:id="0"/>
      <w:r>
        <w:t>80831</w:t>
      </w:r>
      <w:r w:rsidR="00DC423A">
        <w:tab/>
      </w:r>
      <w:r w:rsidR="00DC423A">
        <w:tab/>
      </w:r>
      <w:hyperlink r:id="rId9" w:history="1">
        <w:r w:rsidR="006E5DEC" w:rsidRPr="00146FEF">
          <w:rPr>
            <w:rStyle w:val="Hyperlink"/>
          </w:rPr>
          <w:t>http://www.isis-innovation.com/</w:t>
        </w:r>
      </w:hyperlink>
    </w:p>
    <w:p w:rsidR="006E5DEC" w:rsidRDefault="006E5DEC" w:rsidP="006E5DEC">
      <w:pPr>
        <w:autoSpaceDE w:val="0"/>
        <w:autoSpaceDN w:val="0"/>
        <w:rPr>
          <w:rFonts w:eastAsiaTheme="minorEastAsia"/>
          <w:noProof/>
          <w:sz w:val="20"/>
          <w:szCs w:val="20"/>
          <w:lang w:val="en-US" w:eastAsia="en-GB"/>
        </w:rPr>
      </w:pPr>
      <w:r>
        <w:rPr>
          <w:rFonts w:eastAsiaTheme="minorEastAsia"/>
          <w:noProof/>
          <w:sz w:val="20"/>
          <w:szCs w:val="20"/>
          <w:lang w:val="en-US" w:eastAsia="en-GB"/>
        </w:rPr>
        <w:t>Isis Innovation Ltd, Ewert House, Ewert Place, Summertown, Oxford OX2 7SG</w:t>
      </w:r>
    </w:p>
    <w:p w:rsidR="006E5DEC" w:rsidRDefault="006E5DEC" w:rsidP="006E5DEC">
      <w:pPr>
        <w:autoSpaceDE w:val="0"/>
        <w:autoSpaceDN w:val="0"/>
        <w:rPr>
          <w:rFonts w:eastAsiaTheme="minorEastAsia"/>
          <w:noProof/>
          <w:sz w:val="20"/>
          <w:szCs w:val="20"/>
          <w:lang w:val="en-US" w:eastAsia="en-GB"/>
        </w:rPr>
      </w:pPr>
      <w:r>
        <w:rPr>
          <w:rFonts w:eastAsiaTheme="minorEastAsia"/>
          <w:noProof/>
          <w:sz w:val="20"/>
          <w:szCs w:val="20"/>
          <w:lang w:val="en-US" w:eastAsia="en-GB"/>
        </w:rPr>
        <w:t>Company No. 02199542  VAT No 490 7988 85</w:t>
      </w:r>
    </w:p>
    <w:p w:rsidR="006E5DEC" w:rsidRDefault="006E5DEC" w:rsidP="008B2025"/>
    <w:p w:rsidR="00B22EAE" w:rsidRDefault="00B22EAE" w:rsidP="008B2025"/>
    <w:p w:rsidR="008B2025" w:rsidRDefault="002870B2" w:rsidP="008B2025">
      <w:r>
        <w:t>(</w:t>
      </w:r>
      <w:r w:rsidR="00324D75">
        <w:t xml:space="preserve">Expression of interest </w:t>
      </w:r>
      <w:r>
        <w:t>questionnaire follows on separate sheet)</w:t>
      </w:r>
    </w:p>
    <w:p w:rsidR="008B2025" w:rsidRDefault="002870B2" w:rsidP="008B2025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Expression of interest q</w:t>
      </w:r>
      <w:r w:rsidR="00DC423A" w:rsidRPr="001F43E1">
        <w:rPr>
          <w:b/>
        </w:rPr>
        <w:t>uestionnaire</w:t>
      </w:r>
    </w:p>
    <w:p w:rsidR="002870B2" w:rsidRPr="002870B2" w:rsidRDefault="002870B2" w:rsidP="008B2025">
      <w:pPr>
        <w:rPr>
          <w:b/>
        </w:rPr>
      </w:pPr>
      <w:r>
        <w:rPr>
          <w:b/>
        </w:rPr>
        <w:t>Isis Innovation tender</w:t>
      </w:r>
      <w:r w:rsidRPr="002870B2">
        <w:t xml:space="preserve"> </w:t>
      </w:r>
      <w:r w:rsidRPr="002870B2">
        <w:rPr>
          <w:b/>
        </w:rPr>
        <w:t>for new patent drafting and prosecution work</w:t>
      </w:r>
      <w:r w:rsidRPr="002870B2">
        <w:rPr>
          <w:b/>
        </w:rPr>
        <w:t xml:space="preserve"> </w:t>
      </w:r>
      <w:r w:rsidR="00324D75">
        <w:rPr>
          <w:b/>
        </w:rPr>
        <w:t>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DC423A" w:rsidTr="00324D75">
        <w:tc>
          <w:tcPr>
            <w:tcW w:w="2802" w:type="dxa"/>
          </w:tcPr>
          <w:p w:rsidR="00DC423A" w:rsidRPr="000B000A" w:rsidRDefault="00DC423A" w:rsidP="008B2025">
            <w:pPr>
              <w:rPr>
                <w:b/>
              </w:rPr>
            </w:pPr>
            <w:r w:rsidRPr="000B000A">
              <w:rPr>
                <w:b/>
              </w:rPr>
              <w:t>Name of patent attorney firm/entity</w:t>
            </w:r>
          </w:p>
        </w:tc>
        <w:tc>
          <w:tcPr>
            <w:tcW w:w="6440" w:type="dxa"/>
          </w:tcPr>
          <w:p w:rsidR="00DC423A" w:rsidRDefault="00DC423A" w:rsidP="008B2025"/>
        </w:tc>
      </w:tr>
      <w:tr w:rsidR="00DC423A" w:rsidTr="00324D75">
        <w:tc>
          <w:tcPr>
            <w:tcW w:w="2802" w:type="dxa"/>
          </w:tcPr>
          <w:p w:rsidR="00DC423A" w:rsidRPr="000B000A" w:rsidRDefault="00250DB0" w:rsidP="008B2025">
            <w:pPr>
              <w:rPr>
                <w:b/>
              </w:rPr>
            </w:pPr>
            <w:r w:rsidRPr="000B000A">
              <w:rPr>
                <w:b/>
              </w:rPr>
              <w:t xml:space="preserve">Details of IP </w:t>
            </w:r>
            <w:proofErr w:type="spellStart"/>
            <w:r w:rsidRPr="000B000A">
              <w:rPr>
                <w:b/>
              </w:rPr>
              <w:t>Reg</w:t>
            </w:r>
            <w:proofErr w:type="spellEnd"/>
            <w:r w:rsidRPr="000B000A">
              <w:rPr>
                <w:b/>
              </w:rPr>
              <w:t xml:space="preserve"> registration</w:t>
            </w:r>
          </w:p>
        </w:tc>
        <w:tc>
          <w:tcPr>
            <w:tcW w:w="6440" w:type="dxa"/>
          </w:tcPr>
          <w:p w:rsidR="00DC423A" w:rsidRDefault="00DC423A" w:rsidP="008B2025"/>
        </w:tc>
      </w:tr>
      <w:tr w:rsidR="00DC423A" w:rsidTr="00324D75">
        <w:tc>
          <w:tcPr>
            <w:tcW w:w="2802" w:type="dxa"/>
          </w:tcPr>
          <w:p w:rsidR="00DC423A" w:rsidRPr="000B000A" w:rsidRDefault="00250DB0" w:rsidP="008B2025">
            <w:pPr>
              <w:rPr>
                <w:b/>
              </w:rPr>
            </w:pPr>
            <w:r w:rsidRPr="000B000A">
              <w:rPr>
                <w:b/>
              </w:rPr>
              <w:t>Registered office</w:t>
            </w:r>
          </w:p>
        </w:tc>
        <w:tc>
          <w:tcPr>
            <w:tcW w:w="6440" w:type="dxa"/>
          </w:tcPr>
          <w:p w:rsidR="00DC423A" w:rsidRDefault="00DC423A" w:rsidP="008B2025"/>
          <w:p w:rsidR="000B000A" w:rsidRDefault="000B000A" w:rsidP="008B2025"/>
        </w:tc>
      </w:tr>
      <w:tr w:rsidR="00CD2776" w:rsidTr="00324D75">
        <w:tc>
          <w:tcPr>
            <w:tcW w:w="2802" w:type="dxa"/>
          </w:tcPr>
          <w:p w:rsidR="00CD2776" w:rsidRPr="000B000A" w:rsidRDefault="002870B2" w:rsidP="002870B2">
            <w:pPr>
              <w:rPr>
                <w:b/>
              </w:rPr>
            </w:pPr>
            <w:r w:rsidRPr="000B000A">
              <w:rPr>
                <w:b/>
              </w:rPr>
              <w:t>Date of formation of your firm/entity</w:t>
            </w:r>
          </w:p>
        </w:tc>
        <w:tc>
          <w:tcPr>
            <w:tcW w:w="6440" w:type="dxa"/>
          </w:tcPr>
          <w:p w:rsidR="00CD2776" w:rsidRDefault="00CD2776" w:rsidP="008B2025"/>
        </w:tc>
      </w:tr>
      <w:tr w:rsidR="00CD2776" w:rsidTr="00324D75">
        <w:tc>
          <w:tcPr>
            <w:tcW w:w="2802" w:type="dxa"/>
          </w:tcPr>
          <w:p w:rsidR="00CD2776" w:rsidRPr="000B000A" w:rsidRDefault="00CD2776" w:rsidP="008B2025">
            <w:pPr>
              <w:rPr>
                <w:b/>
              </w:rPr>
            </w:pPr>
            <w:r w:rsidRPr="000B000A">
              <w:rPr>
                <w:b/>
              </w:rPr>
              <w:t>Is your firm ISO accredited?</w:t>
            </w:r>
            <w:r w:rsidR="002870B2" w:rsidRPr="000B000A">
              <w:rPr>
                <w:b/>
              </w:rPr>
              <w:t xml:space="preserve"> If yes, please give details</w:t>
            </w:r>
          </w:p>
        </w:tc>
        <w:tc>
          <w:tcPr>
            <w:tcW w:w="6440" w:type="dxa"/>
          </w:tcPr>
          <w:p w:rsidR="00CD2776" w:rsidRDefault="00CD2776" w:rsidP="008B2025"/>
        </w:tc>
      </w:tr>
      <w:tr w:rsidR="00DC423A" w:rsidTr="00324D75">
        <w:tc>
          <w:tcPr>
            <w:tcW w:w="2802" w:type="dxa"/>
          </w:tcPr>
          <w:p w:rsidR="00DC423A" w:rsidRPr="000B000A" w:rsidRDefault="00DC423A" w:rsidP="008B2025">
            <w:pPr>
              <w:rPr>
                <w:b/>
              </w:rPr>
            </w:pPr>
            <w:r w:rsidRPr="000B000A">
              <w:rPr>
                <w:b/>
              </w:rPr>
              <w:t xml:space="preserve">Give specific details of the experience of your firm working with world class academics in </w:t>
            </w:r>
            <w:r w:rsidR="00250DB0" w:rsidRPr="000B000A">
              <w:rPr>
                <w:b/>
              </w:rPr>
              <w:t xml:space="preserve">a </w:t>
            </w:r>
            <w:r w:rsidRPr="000B000A">
              <w:rPr>
                <w:b/>
              </w:rPr>
              <w:t>tech</w:t>
            </w:r>
            <w:r w:rsidR="00250DB0" w:rsidRPr="000B000A">
              <w:rPr>
                <w:b/>
              </w:rPr>
              <w:t>nology</w:t>
            </w:r>
            <w:r w:rsidRPr="000B000A">
              <w:rPr>
                <w:b/>
              </w:rPr>
              <w:t xml:space="preserve"> transfer environment</w:t>
            </w:r>
          </w:p>
        </w:tc>
        <w:tc>
          <w:tcPr>
            <w:tcW w:w="6440" w:type="dxa"/>
          </w:tcPr>
          <w:p w:rsidR="00DC423A" w:rsidRDefault="00DC423A" w:rsidP="008B2025"/>
        </w:tc>
      </w:tr>
      <w:tr w:rsidR="008578CD" w:rsidTr="00116E03">
        <w:tc>
          <w:tcPr>
            <w:tcW w:w="2802" w:type="dxa"/>
          </w:tcPr>
          <w:p w:rsidR="008578CD" w:rsidRPr="000B000A" w:rsidRDefault="008578CD" w:rsidP="00116E03">
            <w:pPr>
              <w:rPr>
                <w:b/>
              </w:rPr>
            </w:pPr>
            <w:r w:rsidRPr="000B000A">
              <w:rPr>
                <w:b/>
              </w:rPr>
              <w:t>Please summarise the qualifications and experience of the members of staff who would be engaged in the fulfilment of the contract</w:t>
            </w:r>
          </w:p>
        </w:tc>
        <w:tc>
          <w:tcPr>
            <w:tcW w:w="6440" w:type="dxa"/>
          </w:tcPr>
          <w:p w:rsidR="008578CD" w:rsidRDefault="008578CD" w:rsidP="00116E03"/>
        </w:tc>
      </w:tr>
      <w:tr w:rsidR="00DC423A" w:rsidTr="00324D75">
        <w:tc>
          <w:tcPr>
            <w:tcW w:w="2802" w:type="dxa"/>
          </w:tcPr>
          <w:p w:rsidR="00DC423A" w:rsidRPr="000B000A" w:rsidRDefault="00DC423A" w:rsidP="008B2025">
            <w:pPr>
              <w:rPr>
                <w:b/>
              </w:rPr>
            </w:pPr>
            <w:r w:rsidRPr="000B000A">
              <w:rPr>
                <w:b/>
              </w:rPr>
              <w:t>What technology areas do you cover?</w:t>
            </w:r>
          </w:p>
        </w:tc>
        <w:tc>
          <w:tcPr>
            <w:tcW w:w="6440" w:type="dxa"/>
          </w:tcPr>
          <w:p w:rsidR="00DC423A" w:rsidRDefault="00DC423A" w:rsidP="008B2025"/>
        </w:tc>
      </w:tr>
      <w:tr w:rsidR="008578CD" w:rsidTr="00914FD7">
        <w:tc>
          <w:tcPr>
            <w:tcW w:w="2802" w:type="dxa"/>
            <w:shd w:val="clear" w:color="auto" w:fill="FFFFFF" w:themeFill="background1"/>
          </w:tcPr>
          <w:p w:rsidR="008578CD" w:rsidRPr="000B000A" w:rsidRDefault="008578CD" w:rsidP="00914FD7">
            <w:pPr>
              <w:rPr>
                <w:b/>
              </w:rPr>
            </w:pPr>
            <w:r w:rsidRPr="000B000A">
              <w:rPr>
                <w:b/>
              </w:rPr>
              <w:t>Does your firm have specialist IP lawyers, either in-house or by alliance? If yes, please give brief details</w:t>
            </w:r>
          </w:p>
        </w:tc>
        <w:tc>
          <w:tcPr>
            <w:tcW w:w="6440" w:type="dxa"/>
            <w:shd w:val="clear" w:color="auto" w:fill="FFFFFF" w:themeFill="background1"/>
          </w:tcPr>
          <w:p w:rsidR="008578CD" w:rsidRDefault="008578CD" w:rsidP="00914FD7"/>
        </w:tc>
      </w:tr>
      <w:tr w:rsidR="008578CD" w:rsidTr="00B31399">
        <w:tc>
          <w:tcPr>
            <w:tcW w:w="2802" w:type="dxa"/>
          </w:tcPr>
          <w:p w:rsidR="008578CD" w:rsidRPr="000B000A" w:rsidRDefault="008578CD" w:rsidP="00B31399">
            <w:pPr>
              <w:rPr>
                <w:b/>
              </w:rPr>
            </w:pPr>
            <w:r w:rsidRPr="000B000A">
              <w:rPr>
                <w:b/>
              </w:rPr>
              <w:t>How large is your firm?</w:t>
            </w:r>
          </w:p>
        </w:tc>
        <w:tc>
          <w:tcPr>
            <w:tcW w:w="6440" w:type="dxa"/>
          </w:tcPr>
          <w:p w:rsidR="008578CD" w:rsidRDefault="008578CD" w:rsidP="00B31399">
            <w:r>
              <w:t xml:space="preserve">[give numbers of partners, associates, part-qualified trainees </w:t>
            </w:r>
            <w:proofErr w:type="spellStart"/>
            <w:r>
              <w:t>etc</w:t>
            </w:r>
            <w:proofErr w:type="spellEnd"/>
            <w:r>
              <w:t>]</w:t>
            </w:r>
          </w:p>
        </w:tc>
      </w:tr>
      <w:tr w:rsidR="00DC423A" w:rsidTr="00324D75">
        <w:tc>
          <w:tcPr>
            <w:tcW w:w="2802" w:type="dxa"/>
          </w:tcPr>
          <w:p w:rsidR="00DC423A" w:rsidRPr="000B000A" w:rsidRDefault="00DC423A" w:rsidP="002E0032">
            <w:pPr>
              <w:rPr>
                <w:b/>
              </w:rPr>
            </w:pPr>
            <w:r w:rsidRPr="000B000A">
              <w:rPr>
                <w:b/>
              </w:rPr>
              <w:t xml:space="preserve">Where </w:t>
            </w:r>
            <w:r w:rsidR="002E0032" w:rsidRPr="000B000A">
              <w:rPr>
                <w:b/>
              </w:rPr>
              <w:t>is your firm</w:t>
            </w:r>
            <w:r w:rsidRPr="000B000A">
              <w:rPr>
                <w:b/>
              </w:rPr>
              <w:t xml:space="preserve"> based?</w:t>
            </w:r>
          </w:p>
        </w:tc>
        <w:tc>
          <w:tcPr>
            <w:tcW w:w="6440" w:type="dxa"/>
          </w:tcPr>
          <w:p w:rsidR="00DC423A" w:rsidRDefault="00DC423A" w:rsidP="008B2025"/>
        </w:tc>
      </w:tr>
      <w:tr w:rsidR="00DC423A" w:rsidTr="00324D75">
        <w:tc>
          <w:tcPr>
            <w:tcW w:w="2802" w:type="dxa"/>
          </w:tcPr>
          <w:p w:rsidR="00DC423A" w:rsidRPr="000B000A" w:rsidRDefault="00DC423A" w:rsidP="008B2025">
            <w:pPr>
              <w:rPr>
                <w:b/>
              </w:rPr>
            </w:pPr>
            <w:r w:rsidRPr="000B000A">
              <w:rPr>
                <w:b/>
              </w:rPr>
              <w:t>What are your standard hourly rates</w:t>
            </w:r>
            <w:r w:rsidR="00250DB0" w:rsidRPr="000B000A">
              <w:rPr>
                <w:b/>
              </w:rPr>
              <w:t>?</w:t>
            </w:r>
          </w:p>
        </w:tc>
        <w:tc>
          <w:tcPr>
            <w:tcW w:w="6440" w:type="dxa"/>
          </w:tcPr>
          <w:p w:rsidR="00DC423A" w:rsidRDefault="00DC423A" w:rsidP="008B2025"/>
        </w:tc>
      </w:tr>
      <w:tr w:rsidR="00DC423A" w:rsidTr="00324D75">
        <w:tc>
          <w:tcPr>
            <w:tcW w:w="2802" w:type="dxa"/>
          </w:tcPr>
          <w:p w:rsidR="00DC423A" w:rsidRPr="000B000A" w:rsidRDefault="00DC423A" w:rsidP="008B2025">
            <w:pPr>
              <w:rPr>
                <w:b/>
              </w:rPr>
            </w:pPr>
            <w:r w:rsidRPr="000B000A">
              <w:rPr>
                <w:b/>
              </w:rPr>
              <w:t xml:space="preserve">Give examples of </w:t>
            </w:r>
            <w:r w:rsidR="00250DB0" w:rsidRPr="000B000A">
              <w:rPr>
                <w:b/>
              </w:rPr>
              <w:t>previous approaches to pric</w:t>
            </w:r>
            <w:r w:rsidR="000B000A" w:rsidRPr="000B000A">
              <w:rPr>
                <w:b/>
              </w:rPr>
              <w:t>ing you have taken with clients</w:t>
            </w:r>
          </w:p>
        </w:tc>
        <w:tc>
          <w:tcPr>
            <w:tcW w:w="6440" w:type="dxa"/>
          </w:tcPr>
          <w:p w:rsidR="00DC423A" w:rsidRDefault="00DC423A" w:rsidP="008B2025"/>
          <w:p w:rsidR="000B000A" w:rsidRDefault="000B000A" w:rsidP="008B2025"/>
          <w:p w:rsidR="000B000A" w:rsidRDefault="000B000A" w:rsidP="008B2025"/>
        </w:tc>
      </w:tr>
      <w:tr w:rsidR="00DC423A" w:rsidTr="00324D75">
        <w:tc>
          <w:tcPr>
            <w:tcW w:w="2802" w:type="dxa"/>
          </w:tcPr>
          <w:p w:rsidR="00DC423A" w:rsidRPr="000B000A" w:rsidRDefault="00250DB0" w:rsidP="008B2025">
            <w:pPr>
              <w:rPr>
                <w:b/>
              </w:rPr>
            </w:pPr>
            <w:r w:rsidRPr="000B000A">
              <w:rPr>
                <w:b/>
              </w:rPr>
              <w:t>Names of peo</w:t>
            </w:r>
            <w:r w:rsidR="00324D75" w:rsidRPr="000B000A">
              <w:rPr>
                <w:b/>
              </w:rPr>
              <w:t xml:space="preserve">ple who prepared answers to this </w:t>
            </w:r>
            <w:r w:rsidRPr="000B000A">
              <w:rPr>
                <w:b/>
              </w:rPr>
              <w:t>questionnaire</w:t>
            </w:r>
          </w:p>
        </w:tc>
        <w:tc>
          <w:tcPr>
            <w:tcW w:w="6440" w:type="dxa"/>
          </w:tcPr>
          <w:p w:rsidR="00DC423A" w:rsidRDefault="00DC423A" w:rsidP="008B2025"/>
        </w:tc>
      </w:tr>
      <w:tr w:rsidR="00F7381C" w:rsidTr="00324D75">
        <w:tc>
          <w:tcPr>
            <w:tcW w:w="2802" w:type="dxa"/>
          </w:tcPr>
          <w:p w:rsidR="00F7381C" w:rsidRPr="000B000A" w:rsidRDefault="00F7381C" w:rsidP="000B000A">
            <w:pPr>
              <w:rPr>
                <w:b/>
              </w:rPr>
            </w:pPr>
            <w:r w:rsidRPr="000B000A">
              <w:rPr>
                <w:b/>
              </w:rPr>
              <w:t>Please identify the person(s) who will a</w:t>
            </w:r>
            <w:r w:rsidR="00982002" w:rsidRPr="000B000A">
              <w:rPr>
                <w:b/>
              </w:rPr>
              <w:t>ct as the main contact</w:t>
            </w:r>
            <w:r w:rsidR="000B000A" w:rsidRPr="000B000A">
              <w:rPr>
                <w:b/>
              </w:rPr>
              <w:t>(s)</w:t>
            </w:r>
            <w:r w:rsidR="00982002" w:rsidRPr="000B000A">
              <w:rPr>
                <w:b/>
              </w:rPr>
              <w:t xml:space="preserve"> for Isis</w:t>
            </w:r>
            <w:r w:rsidR="000B000A" w:rsidRPr="000B000A">
              <w:rPr>
                <w:b/>
              </w:rPr>
              <w:t xml:space="preserve"> </w:t>
            </w:r>
          </w:p>
        </w:tc>
        <w:tc>
          <w:tcPr>
            <w:tcW w:w="6440" w:type="dxa"/>
          </w:tcPr>
          <w:p w:rsidR="000B000A" w:rsidRDefault="000B000A" w:rsidP="000B000A">
            <w:r>
              <w:t>a) during the tender process</w:t>
            </w:r>
            <w:r>
              <w:t>:</w:t>
            </w:r>
            <w:r>
              <w:t xml:space="preserve"> </w:t>
            </w:r>
          </w:p>
          <w:p w:rsidR="000B000A" w:rsidRDefault="000B000A" w:rsidP="000B000A"/>
          <w:p w:rsidR="00F7381C" w:rsidRDefault="000B000A" w:rsidP="000B000A">
            <w:r>
              <w:t xml:space="preserve">b) </w:t>
            </w:r>
            <w:r>
              <w:t>responsible</w:t>
            </w:r>
            <w:r>
              <w:t xml:space="preserve"> for the tendered work</w:t>
            </w:r>
            <w:r>
              <w:t>:</w:t>
            </w:r>
          </w:p>
          <w:p w:rsidR="000B000A" w:rsidRDefault="000B000A" w:rsidP="000B000A"/>
        </w:tc>
      </w:tr>
      <w:tr w:rsidR="000B000A" w:rsidTr="00A12E8D">
        <w:tc>
          <w:tcPr>
            <w:tcW w:w="2802" w:type="dxa"/>
          </w:tcPr>
          <w:p w:rsidR="000B000A" w:rsidRPr="000B000A" w:rsidRDefault="000B000A" w:rsidP="00A12E8D">
            <w:pPr>
              <w:rPr>
                <w:b/>
              </w:rPr>
            </w:pPr>
            <w:r w:rsidRPr="000B000A">
              <w:rPr>
                <w:b/>
              </w:rPr>
              <w:t>Contact details</w:t>
            </w:r>
          </w:p>
        </w:tc>
        <w:tc>
          <w:tcPr>
            <w:tcW w:w="6440" w:type="dxa"/>
          </w:tcPr>
          <w:p w:rsidR="000B000A" w:rsidRDefault="000B000A" w:rsidP="00A12E8D"/>
        </w:tc>
      </w:tr>
    </w:tbl>
    <w:p w:rsidR="008B2025" w:rsidRPr="0079208F" w:rsidRDefault="008B2025" w:rsidP="00324D75"/>
    <w:sectPr w:rsidR="008B2025" w:rsidRPr="00792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2555"/>
    <w:multiLevelType w:val="hybridMultilevel"/>
    <w:tmpl w:val="AA32B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E08D4"/>
    <w:multiLevelType w:val="hybridMultilevel"/>
    <w:tmpl w:val="D382E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2142C"/>
    <w:multiLevelType w:val="hybridMultilevel"/>
    <w:tmpl w:val="C59C9B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90519"/>
    <w:multiLevelType w:val="hybridMultilevel"/>
    <w:tmpl w:val="8C6474E8"/>
    <w:lvl w:ilvl="0" w:tplc="4D542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2B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47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FC8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5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42B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30A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61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01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0C"/>
    <w:rsid w:val="000B000A"/>
    <w:rsid w:val="00172F4E"/>
    <w:rsid w:val="001F43E1"/>
    <w:rsid w:val="00226C06"/>
    <w:rsid w:val="00250DB0"/>
    <w:rsid w:val="002870B2"/>
    <w:rsid w:val="002E0032"/>
    <w:rsid w:val="00324D75"/>
    <w:rsid w:val="003817A3"/>
    <w:rsid w:val="003C652C"/>
    <w:rsid w:val="004110E6"/>
    <w:rsid w:val="00525A48"/>
    <w:rsid w:val="005A3970"/>
    <w:rsid w:val="006E5DEC"/>
    <w:rsid w:val="006F41F0"/>
    <w:rsid w:val="00727CC6"/>
    <w:rsid w:val="0079208F"/>
    <w:rsid w:val="007E12E6"/>
    <w:rsid w:val="007F677C"/>
    <w:rsid w:val="0080311C"/>
    <w:rsid w:val="008578CD"/>
    <w:rsid w:val="008B2025"/>
    <w:rsid w:val="00982002"/>
    <w:rsid w:val="009D7036"/>
    <w:rsid w:val="00A12AE1"/>
    <w:rsid w:val="00A84DF5"/>
    <w:rsid w:val="00A928EA"/>
    <w:rsid w:val="00B05F8D"/>
    <w:rsid w:val="00B156E3"/>
    <w:rsid w:val="00B15834"/>
    <w:rsid w:val="00B22EAE"/>
    <w:rsid w:val="00B34206"/>
    <w:rsid w:val="00B81555"/>
    <w:rsid w:val="00B83ECE"/>
    <w:rsid w:val="00B96F47"/>
    <w:rsid w:val="00C11F2C"/>
    <w:rsid w:val="00C210AE"/>
    <w:rsid w:val="00CD2776"/>
    <w:rsid w:val="00D5700C"/>
    <w:rsid w:val="00DC423A"/>
    <w:rsid w:val="00EE36B0"/>
    <w:rsid w:val="00F25052"/>
    <w:rsid w:val="00F5582F"/>
    <w:rsid w:val="00F7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0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20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1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0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0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0A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22EA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C4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0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20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1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0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0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0A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22EA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C4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921">
          <w:marLeft w:val="0"/>
          <w:marRight w:val="0"/>
          <w:marTop w:val="4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n.bayliss@isis.ox.ac.u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sis-innov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4577B-F573-4978-AAAE-DFF393F6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Isis Innovation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Steven.Bayliss1</dc:creator>
  <cp:lastModifiedBy>Mairi Gibbs</cp:lastModifiedBy>
  <cp:revision>4</cp:revision>
  <dcterms:created xsi:type="dcterms:W3CDTF">2014-08-26T12:44:00Z</dcterms:created>
  <dcterms:modified xsi:type="dcterms:W3CDTF">2014-08-26T16:13:00Z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0x1d">
    <vt:lpwstr>1c0f0ad6672d917f</vt:lpwstr>
  </property>
</Properties>
</file>